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B9" w:rsidRDefault="00E362A8">
      <w:pPr>
        <w:adjustRightInd w:val="0"/>
        <w:snapToGrid w:val="0"/>
        <w:spacing w:line="360" w:lineRule="auto"/>
        <w:ind w:firstLineChars="200" w:firstLine="643"/>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上海第二工业大学</w:t>
      </w:r>
    </w:p>
    <w:p w:rsidR="00670FB9" w:rsidRDefault="00E362A8">
      <w:pPr>
        <w:adjustRightInd w:val="0"/>
        <w:snapToGrid w:val="0"/>
        <w:spacing w:line="360" w:lineRule="auto"/>
        <w:ind w:firstLineChars="200" w:firstLine="643"/>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高等学历继续教育学习站点管理办法</w:t>
      </w:r>
    </w:p>
    <w:p w:rsidR="00670FB9" w:rsidRDefault="008A3BEB">
      <w:pPr>
        <w:adjustRightInd w:val="0"/>
        <w:snapToGrid w:val="0"/>
        <w:spacing w:line="360" w:lineRule="auto"/>
        <w:ind w:firstLineChars="200" w:firstLine="643"/>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（试行</w:t>
      </w:r>
      <w:bookmarkStart w:id="0" w:name="_GoBack"/>
      <w:bookmarkEnd w:id="0"/>
      <w:r w:rsidR="00E362A8">
        <w:rPr>
          <w:rFonts w:ascii="黑体" w:eastAsia="黑体" w:hAnsi="黑体" w:hint="eastAsia"/>
          <w:b/>
          <w:color w:val="000000" w:themeColor="text1"/>
          <w:sz w:val="32"/>
          <w:szCs w:val="32"/>
        </w:rPr>
        <w:t>）</w:t>
      </w:r>
    </w:p>
    <w:p w:rsidR="00670FB9" w:rsidRDefault="00E362A8">
      <w:pPr>
        <w:adjustRightInd w:val="0"/>
        <w:snapToGrid w:val="0"/>
        <w:spacing w:beforeLines="100" w:before="312" w:line="360" w:lineRule="auto"/>
        <w:ind w:firstLineChars="200" w:firstLine="480"/>
        <w:rPr>
          <w:color w:val="000000" w:themeColor="text1"/>
          <w:sz w:val="24"/>
          <w:szCs w:val="24"/>
        </w:rPr>
      </w:pPr>
      <w:r>
        <w:rPr>
          <w:rFonts w:hint="eastAsia"/>
          <w:color w:val="000000" w:themeColor="text1"/>
          <w:sz w:val="24"/>
          <w:szCs w:val="24"/>
        </w:rPr>
        <w:t>为了深入贯彻落实教育部《高等学历继续教育专业设置管理办法》（教职成〔</w:t>
      </w:r>
      <w:r>
        <w:rPr>
          <w:rFonts w:hint="eastAsia"/>
          <w:color w:val="000000" w:themeColor="text1"/>
          <w:sz w:val="24"/>
          <w:szCs w:val="24"/>
        </w:rPr>
        <w:t>2016</w:t>
      </w:r>
      <w:r>
        <w:rPr>
          <w:rFonts w:hint="eastAsia"/>
          <w:color w:val="000000" w:themeColor="text1"/>
          <w:sz w:val="24"/>
          <w:szCs w:val="24"/>
        </w:rPr>
        <w:t>〕</w:t>
      </w:r>
      <w:r>
        <w:rPr>
          <w:rFonts w:hint="eastAsia"/>
          <w:color w:val="000000" w:themeColor="text1"/>
          <w:sz w:val="24"/>
          <w:szCs w:val="24"/>
        </w:rPr>
        <w:t>7</w:t>
      </w:r>
      <w:r>
        <w:rPr>
          <w:rFonts w:hint="eastAsia"/>
          <w:color w:val="000000" w:themeColor="text1"/>
          <w:sz w:val="24"/>
          <w:szCs w:val="24"/>
        </w:rPr>
        <w:t>号文）</w:t>
      </w:r>
      <w:r>
        <w:rPr>
          <w:rFonts w:hint="eastAsia"/>
          <w:color w:val="000000" w:themeColor="text1"/>
          <w:sz w:val="24"/>
          <w:szCs w:val="24"/>
        </w:rPr>
        <w:t xml:space="preserve">, </w:t>
      </w:r>
      <w:r>
        <w:rPr>
          <w:rFonts w:hint="eastAsia"/>
          <w:color w:val="000000" w:themeColor="text1"/>
          <w:sz w:val="24"/>
          <w:szCs w:val="24"/>
        </w:rPr>
        <w:t>依据《上海市教育委员会关于加强高校高等学历继续教育学习站点规范管理的指导意见》（沪教委高〔</w:t>
      </w:r>
      <w:r>
        <w:rPr>
          <w:rFonts w:hint="eastAsia"/>
          <w:color w:val="000000" w:themeColor="text1"/>
          <w:sz w:val="24"/>
          <w:szCs w:val="24"/>
        </w:rPr>
        <w:t>2017</w:t>
      </w:r>
      <w:r>
        <w:rPr>
          <w:rFonts w:hint="eastAsia"/>
          <w:color w:val="000000" w:themeColor="text1"/>
          <w:sz w:val="24"/>
          <w:szCs w:val="24"/>
        </w:rPr>
        <w:t>〕</w:t>
      </w:r>
      <w:r>
        <w:rPr>
          <w:rFonts w:hint="eastAsia"/>
          <w:color w:val="000000" w:themeColor="text1"/>
          <w:sz w:val="24"/>
          <w:szCs w:val="24"/>
        </w:rPr>
        <w:t>62</w:t>
      </w:r>
      <w:r>
        <w:rPr>
          <w:rFonts w:hint="eastAsia"/>
          <w:color w:val="000000" w:themeColor="text1"/>
          <w:sz w:val="24"/>
          <w:szCs w:val="24"/>
        </w:rPr>
        <w:t>号文）及《关于上海市普通高校加强“校外教学场所”管理的指导意见》</w:t>
      </w:r>
      <w:r>
        <w:rPr>
          <w:rFonts w:ascii="仿宋_GB2312" w:eastAsia="仿宋_GB2312" w:hAnsi="黑体" w:hint="eastAsia"/>
          <w:color w:val="000000" w:themeColor="text1"/>
          <w:sz w:val="28"/>
          <w:szCs w:val="28"/>
        </w:rPr>
        <w:t>（</w:t>
      </w:r>
      <w:r>
        <w:rPr>
          <w:rFonts w:hint="eastAsia"/>
          <w:color w:val="000000" w:themeColor="text1"/>
          <w:sz w:val="24"/>
          <w:szCs w:val="24"/>
        </w:rPr>
        <w:t>沪教委终〔</w:t>
      </w:r>
      <w:r>
        <w:rPr>
          <w:rFonts w:hint="eastAsia"/>
          <w:color w:val="000000" w:themeColor="text1"/>
          <w:sz w:val="24"/>
          <w:szCs w:val="24"/>
        </w:rPr>
        <w:t>2010</w:t>
      </w:r>
      <w:r>
        <w:rPr>
          <w:rFonts w:hint="eastAsia"/>
          <w:color w:val="000000" w:themeColor="text1"/>
          <w:sz w:val="24"/>
          <w:szCs w:val="24"/>
        </w:rPr>
        <w:t>〕</w:t>
      </w:r>
      <w:r>
        <w:rPr>
          <w:rFonts w:hint="eastAsia"/>
          <w:color w:val="000000" w:themeColor="text1"/>
          <w:sz w:val="24"/>
          <w:szCs w:val="24"/>
        </w:rPr>
        <w:t>16</w:t>
      </w:r>
      <w:r>
        <w:rPr>
          <w:rFonts w:hint="eastAsia"/>
          <w:color w:val="000000" w:themeColor="text1"/>
          <w:sz w:val="24"/>
          <w:szCs w:val="24"/>
        </w:rPr>
        <w:t>号文</w:t>
      </w:r>
      <w:r>
        <w:rPr>
          <w:rFonts w:ascii="仿宋_GB2312" w:eastAsia="仿宋_GB2312" w:hAnsi="黑体" w:hint="eastAsia"/>
          <w:color w:val="000000" w:themeColor="text1"/>
          <w:sz w:val="28"/>
          <w:szCs w:val="28"/>
        </w:rPr>
        <w:t>）</w:t>
      </w:r>
      <w:r>
        <w:rPr>
          <w:rFonts w:hint="eastAsia"/>
          <w:color w:val="000000" w:themeColor="text1"/>
          <w:sz w:val="24"/>
          <w:szCs w:val="24"/>
        </w:rPr>
        <w:t>等文件的精神和要求，进一步规范我校高等学历继续教育办学行为，特制订我校高等学历继续教育学习站点管理办法。</w:t>
      </w:r>
    </w:p>
    <w:p w:rsidR="00670FB9" w:rsidRDefault="00E362A8">
      <w:pPr>
        <w:pStyle w:val="a5"/>
        <w:numPr>
          <w:ilvl w:val="0"/>
          <w:numId w:val="1"/>
        </w:numPr>
        <w:adjustRightInd w:val="0"/>
        <w:snapToGrid w:val="0"/>
        <w:spacing w:beforeLines="100" w:before="312"/>
        <w:ind w:left="0" w:firstLine="482"/>
        <w:jc w:val="center"/>
        <w:rPr>
          <w:b/>
          <w:color w:val="000000" w:themeColor="text1"/>
          <w:sz w:val="24"/>
          <w:szCs w:val="24"/>
        </w:rPr>
      </w:pPr>
      <w:r>
        <w:rPr>
          <w:rFonts w:hint="eastAsia"/>
          <w:b/>
          <w:color w:val="000000" w:themeColor="text1"/>
          <w:sz w:val="24"/>
          <w:szCs w:val="24"/>
        </w:rPr>
        <w:t xml:space="preserve">  </w:t>
      </w:r>
      <w:r>
        <w:rPr>
          <w:rFonts w:hint="eastAsia"/>
          <w:b/>
          <w:color w:val="000000" w:themeColor="text1"/>
          <w:sz w:val="24"/>
          <w:szCs w:val="24"/>
        </w:rPr>
        <w:t>总</w:t>
      </w:r>
      <w:r>
        <w:rPr>
          <w:rFonts w:hint="eastAsia"/>
          <w:b/>
          <w:color w:val="000000" w:themeColor="text1"/>
          <w:sz w:val="24"/>
          <w:szCs w:val="24"/>
        </w:rPr>
        <w:t xml:space="preserve">  </w:t>
      </w:r>
      <w:r>
        <w:rPr>
          <w:rFonts w:hint="eastAsia"/>
          <w:b/>
          <w:color w:val="000000" w:themeColor="text1"/>
          <w:sz w:val="24"/>
          <w:szCs w:val="24"/>
        </w:rPr>
        <w:t>则</w:t>
      </w:r>
    </w:p>
    <w:p w:rsidR="00670FB9" w:rsidRDefault="00E362A8" w:rsidP="004D5B68">
      <w:pPr>
        <w:pStyle w:val="a5"/>
        <w:numPr>
          <w:ilvl w:val="1"/>
          <w:numId w:val="2"/>
        </w:numPr>
        <w:adjustRightInd w:val="0"/>
        <w:snapToGrid w:val="0"/>
        <w:spacing w:beforeLines="50" w:before="156" w:line="360" w:lineRule="auto"/>
        <w:ind w:firstLineChars="0"/>
        <w:rPr>
          <w:b/>
          <w:color w:val="000000" w:themeColor="text1"/>
          <w:sz w:val="24"/>
          <w:szCs w:val="24"/>
        </w:rPr>
      </w:pPr>
      <w:r>
        <w:rPr>
          <w:rFonts w:hint="eastAsia"/>
          <w:b/>
          <w:color w:val="000000" w:themeColor="text1"/>
          <w:sz w:val="24"/>
          <w:szCs w:val="24"/>
        </w:rPr>
        <w:t>指导思想</w:t>
      </w:r>
    </w:p>
    <w:p w:rsidR="00670FB9" w:rsidRDefault="00E362A8">
      <w:pPr>
        <w:numPr>
          <w:ilvl w:val="0"/>
          <w:numId w:val="3"/>
        </w:numPr>
        <w:adjustRightInd w:val="0"/>
        <w:snapToGrid w:val="0"/>
        <w:spacing w:line="360" w:lineRule="auto"/>
        <w:ind w:left="0" w:firstLineChars="200" w:firstLine="480"/>
        <w:rPr>
          <w:rFonts w:ascii="宋体" w:eastAsia="宋体" w:hAnsi="宋体" w:cs="宋体"/>
          <w:color w:val="000000" w:themeColor="text1"/>
          <w:sz w:val="24"/>
          <w:szCs w:val="24"/>
        </w:rPr>
      </w:pPr>
      <w:proofErr w:type="gramStart"/>
      <w:r>
        <w:rPr>
          <w:rFonts w:ascii="宋体" w:eastAsia="宋体" w:hAnsi="宋体" w:cs="宋体" w:hint="eastAsia"/>
          <w:color w:val="000000" w:themeColor="text1"/>
          <w:sz w:val="24"/>
          <w:szCs w:val="24"/>
        </w:rPr>
        <w:t>强化思政育人</w:t>
      </w:r>
      <w:proofErr w:type="gramEnd"/>
    </w:p>
    <w:p w:rsidR="00670FB9" w:rsidRDefault="00E362A8">
      <w:pPr>
        <w:numPr>
          <w:ilvl w:val="255"/>
          <w:numId w:val="0"/>
        </w:num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要认真贯彻落实全国高校思想政治工作会议精神，将学习站点学生的思想政治工作纳入学校整体思政工作进行统筹推进，把培育和</w:t>
      </w:r>
      <w:proofErr w:type="gramStart"/>
      <w:r>
        <w:rPr>
          <w:rFonts w:ascii="宋体" w:eastAsia="宋体" w:hAnsi="宋体" w:cs="宋体" w:hint="eastAsia"/>
          <w:color w:val="000000" w:themeColor="text1"/>
          <w:sz w:val="24"/>
          <w:szCs w:val="24"/>
        </w:rPr>
        <w:t>践行</w:t>
      </w:r>
      <w:proofErr w:type="gramEnd"/>
      <w:r>
        <w:rPr>
          <w:rFonts w:ascii="宋体" w:eastAsia="宋体" w:hAnsi="宋体" w:cs="宋体" w:hint="eastAsia"/>
          <w:color w:val="000000" w:themeColor="text1"/>
          <w:sz w:val="24"/>
          <w:szCs w:val="24"/>
        </w:rPr>
        <w:t>社会主义核心价值观融入学习站点教育教学全过程，在高等学历继续教育各领域牢牢把握意识形态工作领导权。</w:t>
      </w:r>
    </w:p>
    <w:p w:rsidR="00670FB9" w:rsidRDefault="00E362A8">
      <w:pPr>
        <w:numPr>
          <w:ilvl w:val="0"/>
          <w:numId w:val="3"/>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合理设置站点</w:t>
      </w:r>
    </w:p>
    <w:p w:rsidR="00670FB9" w:rsidRDefault="00E362A8">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学校设置的高等学历继续教育学习站点的类型、层次、数量和区域布局要按照和符合学校办学定位及高等学历继续教育发展规划。积极利用学校优势，聚焦国家发展战略和区域支柱产业实际需求，设置行业企业亟需、专业特色鲜明、办学条件优良的学习站点。学习站点应保持相对稳定，并有持续稳定的生源。</w:t>
      </w:r>
    </w:p>
    <w:p w:rsidR="00670FB9" w:rsidRDefault="00E362A8">
      <w:pPr>
        <w:numPr>
          <w:ilvl w:val="0"/>
          <w:numId w:val="3"/>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落实主体责任</w:t>
      </w:r>
    </w:p>
    <w:p w:rsidR="00670FB9" w:rsidRDefault="00E362A8">
      <w:pPr>
        <w:numPr>
          <w:ilvl w:val="255"/>
          <w:numId w:val="0"/>
        </w:num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全面落实学校在高等学历继续教育学习站点办学行为中的主体地位和主体责任。应与校外合作方签署由学校统一制订的，事先经学校法律顾问核准的《合作办学协议书》，并作为学校归口管理部门和分管校长审核审批的依据。严格按照教育部相关文件精神，在招生、收费、教学、管理等方面切实履行办学权利和管理责任，维护学习站点良好的教学秩序与稳定的工作局面。</w:t>
      </w:r>
    </w:p>
    <w:p w:rsidR="00670FB9" w:rsidRDefault="00E362A8">
      <w:pPr>
        <w:numPr>
          <w:ilvl w:val="0"/>
          <w:numId w:val="3"/>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强化规范管理</w:t>
      </w:r>
    </w:p>
    <w:p w:rsidR="00670FB9" w:rsidRDefault="00E362A8">
      <w:pPr>
        <w:numPr>
          <w:ilvl w:val="255"/>
          <w:numId w:val="0"/>
        </w:num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学校要将学习站点管理作为本校教学管理工作的重要组成部分予以高度重视。由学校终身教育处统筹管理学校高等学历继续教育学习站点。学校将高等学历继续教育学习站点办学情况纳入本校高等学历继续教育质量年报，主动向社会公开，接受社会监督。</w:t>
      </w:r>
    </w:p>
    <w:p w:rsidR="00670FB9" w:rsidRDefault="00E362A8">
      <w:pPr>
        <w:numPr>
          <w:ilvl w:val="0"/>
          <w:numId w:val="3"/>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提高教学质量</w:t>
      </w:r>
    </w:p>
    <w:p w:rsidR="00670FB9" w:rsidRDefault="00E362A8">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坚持以提高教学质量为核心的指导思想构建质量保证体系，加强专业和课程体系建设，加强保证教学质量的队伍建设,不断加强学习站点师资配置，切实提高本校专任教师在学习站点任课教师中的比例。积极探索互联网+背景下的混合式教学模式改革，完善教学管理制度，建立对学习站点日常教学情况检查制度，强化对教学过程的监控与管理。继续教育学院定期对校外合作办学点进行评估或单项检查。落实“以学生为中心”的教学理念，加强学习站点对学生学习支持服务的工作力度，结合专业特点开发数字化学习资源和信息平台，扩大学习服务资源的开放与共享，为学习站点提供各类教学资源保障。</w:t>
      </w:r>
    </w:p>
    <w:p w:rsidR="00670FB9" w:rsidRDefault="00E362A8">
      <w:pPr>
        <w:numPr>
          <w:ilvl w:val="0"/>
          <w:numId w:val="3"/>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推动创新发展</w:t>
      </w:r>
    </w:p>
    <w:p w:rsidR="00670FB9" w:rsidRDefault="00E362A8">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要遵循继续教育育人规律，以改革创新的精神和举措，形成加强办学过程与风险管控，实现办学规范、过程监控、合作拓展的有机结合，推动高等学历继续教育创新科学发展。</w:t>
      </w:r>
    </w:p>
    <w:p w:rsidR="00670FB9" w:rsidRDefault="00E362A8">
      <w:pPr>
        <w:pStyle w:val="a5"/>
        <w:numPr>
          <w:ilvl w:val="0"/>
          <w:numId w:val="1"/>
        </w:numPr>
        <w:adjustRightInd w:val="0"/>
        <w:snapToGrid w:val="0"/>
        <w:spacing w:beforeLines="100" w:before="312"/>
        <w:ind w:left="0" w:firstLine="482"/>
        <w:jc w:val="center"/>
        <w:rPr>
          <w:b/>
          <w:color w:val="000000" w:themeColor="text1"/>
          <w:sz w:val="24"/>
          <w:szCs w:val="24"/>
        </w:rPr>
      </w:pPr>
      <w:r>
        <w:rPr>
          <w:rFonts w:hint="eastAsia"/>
          <w:b/>
          <w:color w:val="000000" w:themeColor="text1"/>
          <w:sz w:val="24"/>
          <w:szCs w:val="24"/>
        </w:rPr>
        <w:t xml:space="preserve"> </w:t>
      </w:r>
      <w:r>
        <w:rPr>
          <w:rFonts w:hint="eastAsia"/>
          <w:b/>
          <w:color w:val="000000" w:themeColor="text1"/>
          <w:sz w:val="24"/>
          <w:szCs w:val="24"/>
        </w:rPr>
        <w:t>学习站点的设置</w:t>
      </w:r>
    </w:p>
    <w:p w:rsidR="00670FB9" w:rsidRDefault="00E362A8" w:rsidP="004D5B68">
      <w:pPr>
        <w:pStyle w:val="a5"/>
        <w:numPr>
          <w:ilvl w:val="1"/>
          <w:numId w:val="2"/>
        </w:numPr>
        <w:adjustRightInd w:val="0"/>
        <w:snapToGrid w:val="0"/>
        <w:spacing w:beforeLines="50" w:before="156" w:line="360" w:lineRule="auto"/>
        <w:ind w:firstLineChars="0"/>
        <w:rPr>
          <w:b/>
          <w:color w:val="000000" w:themeColor="text1"/>
          <w:sz w:val="24"/>
          <w:szCs w:val="24"/>
        </w:rPr>
      </w:pPr>
      <w:r>
        <w:rPr>
          <w:rFonts w:hint="eastAsia"/>
          <w:b/>
          <w:color w:val="000000" w:themeColor="text1"/>
          <w:sz w:val="24"/>
          <w:szCs w:val="24"/>
        </w:rPr>
        <w:t>学习站点的概念</w:t>
      </w:r>
    </w:p>
    <w:p w:rsidR="00670FB9" w:rsidRDefault="00E362A8">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学习站点是指由我校在本市设立并根据学校统一要求和工作安排，在学校具体指导与监督下进行招生宣传、学习支持、辅助管理，开展高等学历继续教育支持服务的辅助机构。</w:t>
      </w:r>
    </w:p>
    <w:p w:rsidR="00670FB9" w:rsidRDefault="00E362A8" w:rsidP="004D5B68">
      <w:pPr>
        <w:pStyle w:val="a5"/>
        <w:numPr>
          <w:ilvl w:val="1"/>
          <w:numId w:val="2"/>
        </w:numPr>
        <w:adjustRightInd w:val="0"/>
        <w:snapToGrid w:val="0"/>
        <w:spacing w:beforeLines="50" w:before="156" w:line="360" w:lineRule="auto"/>
        <w:ind w:firstLineChars="0"/>
        <w:rPr>
          <w:b/>
          <w:color w:val="000000" w:themeColor="text1"/>
          <w:sz w:val="24"/>
          <w:szCs w:val="24"/>
        </w:rPr>
      </w:pPr>
      <w:r>
        <w:rPr>
          <w:rFonts w:hint="eastAsia"/>
          <w:b/>
          <w:color w:val="000000" w:themeColor="text1"/>
          <w:sz w:val="24"/>
          <w:szCs w:val="24"/>
        </w:rPr>
        <w:t>学习站点的类型</w:t>
      </w:r>
    </w:p>
    <w:p w:rsidR="00670FB9" w:rsidRDefault="00E362A8">
      <w:pPr>
        <w:numPr>
          <w:ilvl w:val="0"/>
          <w:numId w:val="4"/>
        </w:numPr>
        <w:adjustRightInd w:val="0"/>
        <w:snapToGrid w:val="0"/>
        <w:spacing w:line="360" w:lineRule="auto"/>
        <w:ind w:left="0" w:firstLineChars="200" w:firstLine="480"/>
        <w:rPr>
          <w:rFonts w:ascii="宋体" w:eastAsia="宋体" w:hAnsi="宋体" w:cs="宋体"/>
          <w:color w:val="000000" w:themeColor="text1"/>
          <w:sz w:val="24"/>
          <w:szCs w:val="24"/>
        </w:rPr>
      </w:pPr>
      <w:r>
        <w:rPr>
          <w:rFonts w:hint="eastAsia"/>
          <w:color w:val="000000" w:themeColor="text1"/>
          <w:sz w:val="24"/>
          <w:szCs w:val="24"/>
        </w:rPr>
        <w:t>根据政府相关文件精神及要求和学校的实际情况，校外学习站点分为</w:t>
      </w:r>
      <w:r>
        <w:rPr>
          <w:rFonts w:hint="eastAsia"/>
          <w:color w:val="000000" w:themeColor="text1"/>
          <w:sz w:val="24"/>
          <w:szCs w:val="24"/>
        </w:rPr>
        <w:t>3</w:t>
      </w:r>
      <w:r>
        <w:rPr>
          <w:rFonts w:hint="eastAsia"/>
          <w:color w:val="000000" w:themeColor="text1"/>
          <w:sz w:val="24"/>
          <w:szCs w:val="24"/>
        </w:rPr>
        <w:t>种类型：</w:t>
      </w:r>
    </w:p>
    <w:p w:rsidR="00670FB9" w:rsidRDefault="00E362A8">
      <w:pPr>
        <w:numPr>
          <w:ilvl w:val="0"/>
          <w:numId w:val="4"/>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合作办学型：是指利用合作方人力和物力等教学资源进行共同办学的学习站点。</w:t>
      </w:r>
    </w:p>
    <w:p w:rsidR="00670FB9" w:rsidRDefault="00E362A8">
      <w:pPr>
        <w:numPr>
          <w:ilvl w:val="0"/>
          <w:numId w:val="4"/>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租赁校舍资源型：以租赁校舍资源方式设置的校外教学站点，由学校全</w:t>
      </w:r>
      <w:r>
        <w:rPr>
          <w:rFonts w:ascii="宋体" w:eastAsia="宋体" w:hAnsi="宋体" w:cs="宋体" w:hint="eastAsia"/>
          <w:color w:val="000000" w:themeColor="text1"/>
          <w:sz w:val="24"/>
          <w:szCs w:val="24"/>
        </w:rPr>
        <w:lastRenderedPageBreak/>
        <w:t>面负责该校外教学场所的教育教学和办学管理和工作，承担办学责任。</w:t>
      </w:r>
    </w:p>
    <w:p w:rsidR="00670FB9" w:rsidRDefault="00E362A8">
      <w:pPr>
        <w:numPr>
          <w:ilvl w:val="0"/>
          <w:numId w:val="4"/>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定向培养型：指不面向社会，仅就某个行业或单位委托学校定向培养。</w:t>
      </w:r>
    </w:p>
    <w:p w:rsidR="00670FB9" w:rsidRDefault="00E362A8" w:rsidP="004D5B68">
      <w:pPr>
        <w:pStyle w:val="a5"/>
        <w:numPr>
          <w:ilvl w:val="1"/>
          <w:numId w:val="2"/>
        </w:numPr>
        <w:adjustRightInd w:val="0"/>
        <w:snapToGrid w:val="0"/>
        <w:spacing w:beforeLines="50" w:before="156" w:line="360" w:lineRule="auto"/>
        <w:ind w:firstLineChars="0"/>
        <w:rPr>
          <w:b/>
          <w:color w:val="000000" w:themeColor="text1"/>
          <w:sz w:val="24"/>
          <w:szCs w:val="24"/>
        </w:rPr>
      </w:pPr>
      <w:r>
        <w:rPr>
          <w:rFonts w:hint="eastAsia"/>
          <w:b/>
          <w:color w:val="000000" w:themeColor="text1"/>
          <w:sz w:val="24"/>
          <w:szCs w:val="24"/>
        </w:rPr>
        <w:t>学习站点的资质要求</w:t>
      </w:r>
    </w:p>
    <w:p w:rsidR="00670FB9" w:rsidRDefault="00E362A8">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设置不同类型的校外教学站点应具有相应的资质要求，所有学习站点申请设置的专业均须符合教育部和本市教育行政部门的相关规定和要求，并报经政府教育行政部门备案（审核）通过。</w:t>
      </w:r>
    </w:p>
    <w:p w:rsidR="00670FB9" w:rsidRDefault="00E362A8">
      <w:pPr>
        <w:numPr>
          <w:ilvl w:val="0"/>
          <w:numId w:val="5"/>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合作办学型</w:t>
      </w:r>
    </w:p>
    <w:p w:rsidR="00670FB9" w:rsidRDefault="00E362A8">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合作办学</w:t>
      </w:r>
      <w:proofErr w:type="gramStart"/>
      <w:r>
        <w:rPr>
          <w:rFonts w:ascii="宋体" w:eastAsia="宋体" w:hAnsi="宋体" w:cs="宋体" w:hint="eastAsia"/>
          <w:color w:val="000000" w:themeColor="text1"/>
          <w:sz w:val="24"/>
          <w:szCs w:val="24"/>
        </w:rPr>
        <w:t>型学习</w:t>
      </w:r>
      <w:proofErr w:type="gramEnd"/>
      <w:r>
        <w:rPr>
          <w:rFonts w:ascii="宋体" w:eastAsia="宋体" w:hAnsi="宋体" w:cs="宋体" w:hint="eastAsia"/>
          <w:color w:val="000000" w:themeColor="text1"/>
          <w:sz w:val="24"/>
          <w:szCs w:val="24"/>
        </w:rPr>
        <w:t>站点的合作单位应有独立法人资格，具有政府教育行政部门审批设立，并具备相应办学资质的教育机构，一般应具有3年以上办学经历，校舍场所安全达标，教育教学设施条件较好、管理人员配置力量强、办学诚信规范，社会声誉较好。</w:t>
      </w:r>
    </w:p>
    <w:p w:rsidR="00670FB9" w:rsidRDefault="00E362A8">
      <w:pPr>
        <w:numPr>
          <w:ilvl w:val="0"/>
          <w:numId w:val="5"/>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租赁校舍资源型</w:t>
      </w:r>
    </w:p>
    <w:p w:rsidR="00670FB9" w:rsidRDefault="00E362A8">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租赁校舍资源型的学习站点其校舍资源出租单位必须是该校舍资源的产权人。</w:t>
      </w:r>
      <w:proofErr w:type="gramStart"/>
      <w:r>
        <w:rPr>
          <w:rFonts w:ascii="宋体" w:eastAsia="宋体" w:hAnsi="宋体" w:cs="宋体" w:hint="eastAsia"/>
          <w:color w:val="000000" w:themeColor="text1"/>
          <w:sz w:val="24"/>
          <w:szCs w:val="24"/>
        </w:rPr>
        <w:t>且主办</w:t>
      </w:r>
      <w:proofErr w:type="gramEnd"/>
      <w:r>
        <w:rPr>
          <w:rFonts w:ascii="宋体" w:eastAsia="宋体" w:hAnsi="宋体" w:cs="宋体" w:hint="eastAsia"/>
          <w:color w:val="000000" w:themeColor="text1"/>
          <w:sz w:val="24"/>
          <w:szCs w:val="24"/>
        </w:rPr>
        <w:t>院校须与校舍资源出租单位签订合法规范的租赁协议，规范租赁办学行为，明确相关职责。</w:t>
      </w:r>
    </w:p>
    <w:p w:rsidR="00670FB9" w:rsidRDefault="00E362A8">
      <w:pPr>
        <w:numPr>
          <w:ilvl w:val="0"/>
          <w:numId w:val="5"/>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定向培养型</w:t>
      </w:r>
    </w:p>
    <w:p w:rsidR="00670FB9" w:rsidRDefault="00E362A8">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定向培养型的学习站点其委托培训单位应具有独立法人资格，具有较为充足的生源，所提供的校舍场所安全达标，教育教学设施良好。</w:t>
      </w:r>
    </w:p>
    <w:p w:rsidR="00670FB9" w:rsidRDefault="00E362A8" w:rsidP="004D5B68">
      <w:pPr>
        <w:pStyle w:val="a5"/>
        <w:numPr>
          <w:ilvl w:val="1"/>
          <w:numId w:val="2"/>
        </w:numPr>
        <w:adjustRightInd w:val="0"/>
        <w:snapToGrid w:val="0"/>
        <w:spacing w:beforeLines="50" w:before="156" w:line="360" w:lineRule="auto"/>
        <w:ind w:firstLineChars="0"/>
        <w:rPr>
          <w:b/>
          <w:color w:val="000000" w:themeColor="text1"/>
          <w:sz w:val="24"/>
          <w:szCs w:val="24"/>
        </w:rPr>
      </w:pPr>
      <w:r>
        <w:rPr>
          <w:rFonts w:hint="eastAsia"/>
          <w:b/>
          <w:color w:val="000000" w:themeColor="text1"/>
          <w:sz w:val="24"/>
          <w:szCs w:val="24"/>
        </w:rPr>
        <w:t>办学条件</w:t>
      </w:r>
    </w:p>
    <w:p w:rsidR="00670FB9" w:rsidRDefault="00E362A8">
      <w:pPr>
        <w:adjustRightInd w:val="0"/>
        <w:snapToGrid w:val="0"/>
        <w:spacing w:line="360" w:lineRule="auto"/>
        <w:ind w:firstLineChars="200" w:firstLine="480"/>
        <w:rPr>
          <w:rFonts w:ascii="Calibri" w:eastAsia="宋体" w:hAnsi="Calibri" w:cs="Times New Roman"/>
          <w:color w:val="000000" w:themeColor="text1"/>
          <w:sz w:val="24"/>
          <w:szCs w:val="24"/>
        </w:rPr>
      </w:pPr>
      <w:r>
        <w:rPr>
          <w:rFonts w:hint="eastAsia"/>
          <w:color w:val="000000" w:themeColor="text1"/>
          <w:sz w:val="24"/>
          <w:szCs w:val="24"/>
        </w:rPr>
        <w:t>学校设置的校外学习站点</w:t>
      </w:r>
      <w:r>
        <w:rPr>
          <w:rFonts w:ascii="Calibri" w:eastAsia="宋体" w:hAnsi="Calibri" w:cs="Times New Roman" w:hint="eastAsia"/>
          <w:color w:val="000000" w:themeColor="text1"/>
          <w:sz w:val="24"/>
          <w:szCs w:val="24"/>
        </w:rPr>
        <w:t>应具备符合相应规定的办学基本条件和教育教学设施设备。</w:t>
      </w:r>
    </w:p>
    <w:p w:rsidR="00670FB9" w:rsidRDefault="00E362A8">
      <w:pPr>
        <w:numPr>
          <w:ilvl w:val="0"/>
          <w:numId w:val="6"/>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校外学习站点应有固定的办学场所（教学用房和活动场地），且办学场所产权清晰（或租赁手续合法规范），符合国家和本市相关的校舍安全、消防许可和食品卫生等方面的规定要求。</w:t>
      </w:r>
    </w:p>
    <w:p w:rsidR="00670FB9" w:rsidRDefault="00E362A8">
      <w:pPr>
        <w:numPr>
          <w:ilvl w:val="0"/>
          <w:numId w:val="6"/>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校外学习站点应有符合教育教学需要的教学设施和教学仪器设备。</w:t>
      </w:r>
    </w:p>
    <w:p w:rsidR="00670FB9" w:rsidRDefault="00E362A8">
      <w:pPr>
        <w:numPr>
          <w:ilvl w:val="0"/>
          <w:numId w:val="6"/>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应配备相应的图书资料和教辅资料，或配备网络电子图书资料查询和使用功能系统，能满足校外教学场所所设专业学科（或办学项目）的教育教学，以及在读学生的课外阅读书籍和资料查阅需求。</w:t>
      </w:r>
    </w:p>
    <w:p w:rsidR="00670FB9" w:rsidRDefault="00E362A8">
      <w:pPr>
        <w:pStyle w:val="a5"/>
        <w:numPr>
          <w:ilvl w:val="0"/>
          <w:numId w:val="1"/>
        </w:numPr>
        <w:adjustRightInd w:val="0"/>
        <w:snapToGrid w:val="0"/>
        <w:spacing w:beforeLines="100" w:before="312"/>
        <w:ind w:left="0" w:firstLine="482"/>
        <w:jc w:val="center"/>
        <w:rPr>
          <w:b/>
          <w:color w:val="000000" w:themeColor="text1"/>
          <w:sz w:val="24"/>
          <w:szCs w:val="24"/>
        </w:rPr>
      </w:pPr>
      <w:r>
        <w:rPr>
          <w:rFonts w:hint="eastAsia"/>
          <w:b/>
          <w:color w:val="000000" w:themeColor="text1"/>
          <w:sz w:val="24"/>
          <w:szCs w:val="24"/>
        </w:rPr>
        <w:lastRenderedPageBreak/>
        <w:t xml:space="preserve"> </w:t>
      </w:r>
      <w:r>
        <w:rPr>
          <w:rFonts w:hint="eastAsia"/>
          <w:b/>
          <w:color w:val="000000" w:themeColor="text1"/>
          <w:sz w:val="24"/>
          <w:szCs w:val="24"/>
        </w:rPr>
        <w:t>学习站点的申报、审批、备案、变更与撤销</w:t>
      </w:r>
    </w:p>
    <w:p w:rsidR="00670FB9" w:rsidRDefault="00E362A8" w:rsidP="004D5B68">
      <w:pPr>
        <w:pStyle w:val="a5"/>
        <w:numPr>
          <w:ilvl w:val="1"/>
          <w:numId w:val="2"/>
        </w:numPr>
        <w:adjustRightInd w:val="0"/>
        <w:snapToGrid w:val="0"/>
        <w:spacing w:beforeLines="50" w:before="156" w:line="360" w:lineRule="auto"/>
        <w:ind w:firstLineChars="0"/>
        <w:rPr>
          <w:b/>
          <w:color w:val="000000" w:themeColor="text1"/>
          <w:sz w:val="24"/>
          <w:szCs w:val="24"/>
        </w:rPr>
      </w:pPr>
      <w:r>
        <w:rPr>
          <w:rFonts w:hint="eastAsia"/>
          <w:b/>
          <w:color w:val="000000" w:themeColor="text1"/>
          <w:sz w:val="24"/>
          <w:szCs w:val="24"/>
        </w:rPr>
        <w:t>申请学习站点须提交的资料</w:t>
      </w:r>
    </w:p>
    <w:p w:rsidR="00670FB9" w:rsidRDefault="00E362A8">
      <w:pPr>
        <w:numPr>
          <w:ilvl w:val="0"/>
          <w:numId w:val="7"/>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校外办学点的设置申请报告；</w:t>
      </w:r>
    </w:p>
    <w:p w:rsidR="00670FB9" w:rsidRDefault="00E362A8">
      <w:pPr>
        <w:numPr>
          <w:ilvl w:val="0"/>
          <w:numId w:val="7"/>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设点单位的</w:t>
      </w:r>
      <w:r>
        <w:rPr>
          <w:rFonts w:ascii="宋体" w:eastAsia="宋体" w:hAnsi="宋体" w:cs="宋体" w:hint="eastAsia"/>
          <w:color w:val="000000" w:themeColor="text1"/>
          <w:sz w:val="24"/>
          <w:szCs w:val="24"/>
          <w:lang w:val="zh-CN"/>
        </w:rPr>
        <w:t>办学许可证、企事业单位法人登记证和工商</w:t>
      </w:r>
      <w:r>
        <w:rPr>
          <w:rFonts w:ascii="宋体" w:eastAsia="宋体" w:hAnsi="宋体" w:cs="宋体" w:hint="eastAsia"/>
          <w:color w:val="000000" w:themeColor="text1"/>
          <w:sz w:val="24"/>
          <w:szCs w:val="24"/>
        </w:rPr>
        <w:t>营业执照等；</w:t>
      </w:r>
    </w:p>
    <w:p w:rsidR="00670FB9" w:rsidRDefault="00E362A8">
      <w:pPr>
        <w:numPr>
          <w:ilvl w:val="0"/>
          <w:numId w:val="7"/>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办学场所的产权证和校舍资源的安全许可证明等办学条件和办学状况的证明材料；</w:t>
      </w:r>
    </w:p>
    <w:p w:rsidR="00670FB9" w:rsidRDefault="00E362A8">
      <w:pPr>
        <w:numPr>
          <w:ilvl w:val="0"/>
          <w:numId w:val="7"/>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以合作办学方式在民办非学历教育院校（简称“民非院校”）中设置校外学习站点，还应由设点单位提供经区县教育局（该民非院校的审批管理机关）核准</w:t>
      </w:r>
      <w:r>
        <w:rPr>
          <w:rFonts w:ascii="宋体" w:eastAsia="宋体" w:hAnsi="宋体" w:cs="宋体" w:hint="eastAsia"/>
          <w:color w:val="000000" w:themeColor="text1"/>
          <w:sz w:val="24"/>
          <w:szCs w:val="24"/>
          <w:lang w:val="zh-CN"/>
        </w:rPr>
        <w:t>的《</w:t>
      </w:r>
      <w:r>
        <w:rPr>
          <w:rFonts w:ascii="宋体" w:eastAsia="宋体" w:hAnsi="宋体" w:cs="宋体" w:hint="eastAsia"/>
          <w:color w:val="000000" w:themeColor="text1"/>
          <w:sz w:val="24"/>
          <w:szCs w:val="24"/>
        </w:rPr>
        <w:t>该民非院校</w:t>
      </w:r>
      <w:r>
        <w:rPr>
          <w:rFonts w:ascii="宋体" w:eastAsia="宋体" w:hAnsi="宋体" w:cs="宋体" w:hint="eastAsia"/>
          <w:color w:val="000000" w:themeColor="text1"/>
          <w:sz w:val="24"/>
          <w:szCs w:val="24"/>
          <w:lang w:val="zh-CN"/>
        </w:rPr>
        <w:t>办学状况评估报告》；</w:t>
      </w:r>
    </w:p>
    <w:p w:rsidR="00670FB9" w:rsidRDefault="00E362A8">
      <w:pPr>
        <w:numPr>
          <w:ilvl w:val="0"/>
          <w:numId w:val="7"/>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val="zh-CN"/>
        </w:rPr>
        <w:t>合作办学协议草案和租赁协议草案等</w:t>
      </w:r>
      <w:r w:rsidR="004D5B68">
        <w:rPr>
          <w:rFonts w:ascii="宋体" w:eastAsia="宋体" w:hAnsi="宋体" w:cs="宋体" w:hint="eastAsia"/>
          <w:color w:val="000000" w:themeColor="text1"/>
          <w:sz w:val="24"/>
          <w:szCs w:val="24"/>
          <w:lang w:val="zh-CN"/>
        </w:rPr>
        <w:t>。</w:t>
      </w:r>
    </w:p>
    <w:p w:rsidR="00670FB9" w:rsidRDefault="00E362A8" w:rsidP="004D5B68">
      <w:pPr>
        <w:pStyle w:val="a5"/>
        <w:numPr>
          <w:ilvl w:val="1"/>
          <w:numId w:val="2"/>
        </w:numPr>
        <w:adjustRightInd w:val="0"/>
        <w:snapToGrid w:val="0"/>
        <w:spacing w:beforeLines="50" w:before="156" w:line="360" w:lineRule="auto"/>
        <w:ind w:firstLineChars="0"/>
        <w:rPr>
          <w:b/>
          <w:color w:val="000000" w:themeColor="text1"/>
          <w:sz w:val="24"/>
          <w:szCs w:val="24"/>
        </w:rPr>
      </w:pPr>
      <w:r>
        <w:rPr>
          <w:rFonts w:hint="eastAsia"/>
          <w:b/>
          <w:color w:val="000000" w:themeColor="text1"/>
          <w:sz w:val="24"/>
          <w:szCs w:val="24"/>
        </w:rPr>
        <w:t>申报与审批</w:t>
      </w:r>
    </w:p>
    <w:p w:rsidR="00670FB9" w:rsidRDefault="00E362A8">
      <w:pPr>
        <w:numPr>
          <w:ilvl w:val="0"/>
          <w:numId w:val="8"/>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申请单位向学校终身教育处提出申请，递交《设置校外教学场所申请报告》和相关证明材料。</w:t>
      </w:r>
    </w:p>
    <w:p w:rsidR="00670FB9" w:rsidRDefault="00E362A8">
      <w:pPr>
        <w:numPr>
          <w:ilvl w:val="0"/>
          <w:numId w:val="8"/>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终身教育处受理申请及相关材料，并组织专家评估。对符合《上海第二工业大学高等学历继续教育学习站点管理办法》相关条款规定的，终身教育处审核通过；对不符合《上海第二工业大学高等学历继续教育学习站点管理办法》相关条款规定的，经终身教育处审核，不予设置校外教学站点。</w:t>
      </w:r>
    </w:p>
    <w:p w:rsidR="00670FB9" w:rsidRDefault="00E362A8">
      <w:pPr>
        <w:numPr>
          <w:ilvl w:val="0"/>
          <w:numId w:val="8"/>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经学校终身教育处审核通过后，报分管校长审批。</w:t>
      </w:r>
    </w:p>
    <w:p w:rsidR="00670FB9" w:rsidRDefault="00E362A8">
      <w:pPr>
        <w:numPr>
          <w:ilvl w:val="0"/>
          <w:numId w:val="8"/>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经分管校长批准后，由申请单位与设点单位签署协议。</w:t>
      </w:r>
    </w:p>
    <w:p w:rsidR="00670FB9" w:rsidRDefault="00E362A8">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（1）以合作办学方式设置的校外学习站点，由申请单位与“设点单位”起草签订《设置校外教学场所的合作协议》，规范校外教学场所办学行为。</w:t>
      </w:r>
    </w:p>
    <w:p w:rsidR="00670FB9" w:rsidRDefault="00E362A8">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（2）以租赁校舍资源方式设置的校外学习站点，由申请单位与校舍资源出租单位签订合法规范的《租赁办学协议》，规定租赁办学行为，明确相关职责。</w:t>
      </w:r>
    </w:p>
    <w:p w:rsidR="00670FB9" w:rsidRDefault="00E362A8">
      <w:pPr>
        <w:numPr>
          <w:ilvl w:val="0"/>
          <w:numId w:val="8"/>
        </w:numPr>
        <w:adjustRightInd w:val="0"/>
        <w:snapToGrid w:val="0"/>
        <w:spacing w:line="360" w:lineRule="auto"/>
        <w:ind w:hanging="5"/>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申请单位设置校外教学站点</w:t>
      </w:r>
    </w:p>
    <w:p w:rsidR="00670FB9" w:rsidRDefault="00E362A8" w:rsidP="004D5B68">
      <w:pPr>
        <w:pStyle w:val="a5"/>
        <w:numPr>
          <w:ilvl w:val="1"/>
          <w:numId w:val="2"/>
        </w:numPr>
        <w:adjustRightInd w:val="0"/>
        <w:snapToGrid w:val="0"/>
        <w:spacing w:beforeLines="50" w:before="156" w:line="360" w:lineRule="auto"/>
        <w:ind w:firstLineChars="0"/>
        <w:rPr>
          <w:b/>
          <w:color w:val="000000" w:themeColor="text1"/>
          <w:sz w:val="24"/>
          <w:szCs w:val="24"/>
        </w:rPr>
      </w:pPr>
      <w:r>
        <w:rPr>
          <w:rFonts w:hint="eastAsia"/>
          <w:b/>
          <w:color w:val="000000" w:themeColor="text1"/>
          <w:sz w:val="24"/>
          <w:szCs w:val="24"/>
        </w:rPr>
        <w:t>学习站点的备案和向社会公布</w:t>
      </w:r>
    </w:p>
    <w:p w:rsidR="00670FB9" w:rsidRDefault="00E362A8">
      <w:pPr>
        <w:numPr>
          <w:ilvl w:val="0"/>
          <w:numId w:val="9"/>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val="zh-CN"/>
        </w:rPr>
        <w:t>学校</w:t>
      </w:r>
      <w:r>
        <w:rPr>
          <w:rFonts w:ascii="宋体" w:eastAsia="宋体" w:hAnsi="宋体" w:cs="宋体" w:hint="eastAsia"/>
          <w:color w:val="000000" w:themeColor="text1"/>
          <w:sz w:val="24"/>
          <w:szCs w:val="24"/>
        </w:rPr>
        <w:t>批准设置的具有高等学历继续教育办学功能的校外学习站点，终身教育处应报市教委备案。</w:t>
      </w:r>
    </w:p>
    <w:p w:rsidR="00670FB9" w:rsidRDefault="00E362A8">
      <w:pPr>
        <w:numPr>
          <w:ilvl w:val="0"/>
          <w:numId w:val="9"/>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终身教育处应将经批准设置（或变更）校外学习站点的相关信息，在学校门户网站上及时公布，在为广大求学者提供信息查询和</w:t>
      </w:r>
      <w:proofErr w:type="gramStart"/>
      <w:r>
        <w:rPr>
          <w:rFonts w:ascii="宋体" w:eastAsia="宋体" w:hAnsi="宋体" w:cs="宋体" w:hint="eastAsia"/>
          <w:color w:val="000000" w:themeColor="text1"/>
          <w:sz w:val="24"/>
          <w:szCs w:val="24"/>
        </w:rPr>
        <w:t>导学</w:t>
      </w:r>
      <w:proofErr w:type="gramEnd"/>
      <w:r>
        <w:rPr>
          <w:rFonts w:ascii="宋体" w:eastAsia="宋体" w:hAnsi="宋体" w:cs="宋体" w:hint="eastAsia"/>
          <w:color w:val="000000" w:themeColor="text1"/>
          <w:sz w:val="24"/>
          <w:szCs w:val="24"/>
        </w:rPr>
        <w:t>服务的同时，接受</w:t>
      </w:r>
      <w:r>
        <w:rPr>
          <w:rFonts w:ascii="宋体" w:eastAsia="宋体" w:hAnsi="宋体" w:cs="宋体" w:hint="eastAsia"/>
          <w:color w:val="000000" w:themeColor="text1"/>
          <w:sz w:val="24"/>
          <w:szCs w:val="24"/>
        </w:rPr>
        <w:lastRenderedPageBreak/>
        <w:t>社会公众的监督。</w:t>
      </w:r>
    </w:p>
    <w:p w:rsidR="00670FB9" w:rsidRDefault="00E362A8" w:rsidP="004D5B68">
      <w:pPr>
        <w:pStyle w:val="a5"/>
        <w:numPr>
          <w:ilvl w:val="1"/>
          <w:numId w:val="2"/>
        </w:numPr>
        <w:adjustRightInd w:val="0"/>
        <w:snapToGrid w:val="0"/>
        <w:spacing w:beforeLines="50" w:before="156" w:line="360" w:lineRule="auto"/>
        <w:ind w:firstLineChars="0"/>
        <w:rPr>
          <w:b/>
          <w:color w:val="000000" w:themeColor="text1"/>
          <w:sz w:val="24"/>
          <w:szCs w:val="24"/>
        </w:rPr>
      </w:pPr>
      <w:r>
        <w:rPr>
          <w:rFonts w:hint="eastAsia"/>
          <w:b/>
          <w:color w:val="000000" w:themeColor="text1"/>
          <w:sz w:val="24"/>
          <w:szCs w:val="24"/>
        </w:rPr>
        <w:t>学习站点的变更</w:t>
      </w:r>
    </w:p>
    <w:p w:rsidR="00670FB9" w:rsidRDefault="00E362A8">
      <w:pPr>
        <w:numPr>
          <w:ilvl w:val="0"/>
          <w:numId w:val="10"/>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因办学需要，如需调整变更办学场地、办学条件、办学形式和办学内容等，应按有关规定，重新履行校外学习站点的设置审批备案程序。</w:t>
      </w:r>
    </w:p>
    <w:p w:rsidR="00670FB9" w:rsidRDefault="00E362A8">
      <w:pPr>
        <w:numPr>
          <w:ilvl w:val="0"/>
          <w:numId w:val="10"/>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校外学习站点的设点单位若发生举办者和院校长变更、办学场地和办学条件变更，办学层次和办学形式变更等重大变更状况，学校应按有关规定，重新履行校外教学场所设置审批备案程序。</w:t>
      </w:r>
    </w:p>
    <w:p w:rsidR="00670FB9" w:rsidRDefault="00E362A8" w:rsidP="004D5B68">
      <w:pPr>
        <w:pStyle w:val="a5"/>
        <w:numPr>
          <w:ilvl w:val="1"/>
          <w:numId w:val="2"/>
        </w:numPr>
        <w:adjustRightInd w:val="0"/>
        <w:snapToGrid w:val="0"/>
        <w:spacing w:beforeLines="50" w:before="156" w:line="360" w:lineRule="auto"/>
        <w:ind w:firstLineChars="0"/>
        <w:rPr>
          <w:b/>
          <w:color w:val="000000" w:themeColor="text1"/>
          <w:sz w:val="24"/>
          <w:szCs w:val="24"/>
        </w:rPr>
      </w:pPr>
      <w:r>
        <w:rPr>
          <w:rFonts w:hint="eastAsia"/>
          <w:b/>
          <w:color w:val="000000" w:themeColor="text1"/>
          <w:sz w:val="24"/>
          <w:szCs w:val="24"/>
        </w:rPr>
        <w:t>学习站点的撤销</w:t>
      </w:r>
    </w:p>
    <w:p w:rsidR="00670FB9" w:rsidRDefault="00E362A8">
      <w:pPr>
        <w:numPr>
          <w:ilvl w:val="0"/>
          <w:numId w:val="11"/>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学校应及时调整和撤销连续两年不招生的校外学习站点，并向社会公布。被调整和撤销的校外学习站点若需恢复招生，应按有关规定，重新履行校外学习站点设置审批备案程序。</w:t>
      </w:r>
    </w:p>
    <w:p w:rsidR="00670FB9" w:rsidRDefault="00E362A8">
      <w:pPr>
        <w:numPr>
          <w:ilvl w:val="0"/>
          <w:numId w:val="11"/>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校外学习站点，存在下列情况之一者，学校应及时查处和限期整改，或调整和撤销。</w:t>
      </w:r>
    </w:p>
    <w:p w:rsidR="00670FB9" w:rsidRDefault="00E362A8">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（1）设点单位的民办非法人单位年检结果不合格；或在政府教育行政部门组织的专项检查和评估中，被评为不合格。</w:t>
      </w:r>
    </w:p>
    <w:p w:rsidR="00670FB9" w:rsidRDefault="00E362A8">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设点单位提供的办学条件差，办学场所存在严重隐患。教学用房和校舍资源无相应的消防安全许可，或未能取得合法规范的使用手续；或设点单位提供的办学条件和教育教学设施设备等无法满足正常办学需要。</w:t>
      </w:r>
    </w:p>
    <w:p w:rsidR="00670FB9" w:rsidRDefault="00E362A8">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（3）设点单位，以我校或校外学习站点的名义，与其他办学机构开展联合办学或授权办班。</w:t>
      </w:r>
    </w:p>
    <w:p w:rsidR="00670FB9" w:rsidRDefault="00E362A8">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（4）设点单位或校外学习站点，违反《设置校外教学场所的合作协议》，擅自开展招生办学活动。</w:t>
      </w:r>
    </w:p>
    <w:p w:rsidR="00670FB9" w:rsidRDefault="00E362A8">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设点单位或校外学习站点，存在发布虚假招生宣传和违规招生等违规办学行为；或未能按《设置校外教学场所的合作协议》履行相关的办学管理职能和责任，办学管理混乱，教育教学质量得不到保证，在学校组织的校外教学场所办学质量检查中不合格。</w:t>
      </w:r>
    </w:p>
    <w:p w:rsidR="00670FB9" w:rsidRDefault="00E362A8">
      <w:pPr>
        <w:numPr>
          <w:ilvl w:val="0"/>
          <w:numId w:val="11"/>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限期整改的校外学习站点，在整改期间，须暂停招生。整改合格后方可恢复招生；整改仍不合格的，校外教学场所应予以撤销。</w:t>
      </w:r>
    </w:p>
    <w:p w:rsidR="00670FB9" w:rsidRDefault="00E362A8">
      <w:pPr>
        <w:numPr>
          <w:ilvl w:val="0"/>
          <w:numId w:val="11"/>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学校相关管路部门应在学校门户网站上及时公布和公开已调整撤销的校</w:t>
      </w:r>
      <w:r>
        <w:rPr>
          <w:rFonts w:ascii="宋体" w:eastAsia="宋体" w:hAnsi="宋体" w:cs="宋体" w:hint="eastAsia"/>
          <w:color w:val="000000" w:themeColor="text1"/>
          <w:sz w:val="24"/>
          <w:szCs w:val="24"/>
        </w:rPr>
        <w:lastRenderedPageBreak/>
        <w:t>外学习站点信息，并采取积极措施，妥善处理被撤销校外教学场所的在籍学生。</w:t>
      </w:r>
    </w:p>
    <w:p w:rsidR="00670FB9" w:rsidRDefault="00E362A8">
      <w:pPr>
        <w:pStyle w:val="a5"/>
        <w:numPr>
          <w:ilvl w:val="0"/>
          <w:numId w:val="1"/>
        </w:numPr>
        <w:adjustRightInd w:val="0"/>
        <w:snapToGrid w:val="0"/>
        <w:spacing w:beforeLines="100" w:before="312"/>
        <w:ind w:left="0" w:firstLine="482"/>
        <w:jc w:val="center"/>
        <w:rPr>
          <w:b/>
          <w:color w:val="000000" w:themeColor="text1"/>
          <w:sz w:val="24"/>
          <w:szCs w:val="24"/>
        </w:rPr>
      </w:pPr>
      <w:r>
        <w:rPr>
          <w:rFonts w:hint="eastAsia"/>
          <w:b/>
          <w:color w:val="000000" w:themeColor="text1"/>
          <w:sz w:val="24"/>
          <w:szCs w:val="24"/>
        </w:rPr>
        <w:t xml:space="preserve"> </w:t>
      </w:r>
      <w:r>
        <w:rPr>
          <w:rFonts w:hint="eastAsia"/>
          <w:b/>
          <w:color w:val="000000" w:themeColor="text1"/>
          <w:sz w:val="24"/>
          <w:szCs w:val="24"/>
        </w:rPr>
        <w:t>学习站点的机构与人员配置</w:t>
      </w:r>
    </w:p>
    <w:p w:rsidR="00670FB9" w:rsidRDefault="00E362A8" w:rsidP="004D5B68">
      <w:pPr>
        <w:pStyle w:val="a5"/>
        <w:numPr>
          <w:ilvl w:val="1"/>
          <w:numId w:val="2"/>
        </w:numPr>
        <w:adjustRightInd w:val="0"/>
        <w:snapToGrid w:val="0"/>
        <w:spacing w:beforeLines="50" w:before="156" w:line="360" w:lineRule="auto"/>
        <w:ind w:firstLineChars="0"/>
        <w:rPr>
          <w:b/>
          <w:color w:val="000000" w:themeColor="text1"/>
          <w:sz w:val="24"/>
          <w:szCs w:val="24"/>
        </w:rPr>
      </w:pPr>
      <w:r>
        <w:rPr>
          <w:rFonts w:hint="eastAsia"/>
          <w:b/>
          <w:color w:val="000000" w:themeColor="text1"/>
          <w:sz w:val="24"/>
          <w:szCs w:val="24"/>
        </w:rPr>
        <w:t>校外学习站点的管理机构</w:t>
      </w:r>
    </w:p>
    <w:p w:rsidR="00670FB9" w:rsidRDefault="00E362A8">
      <w:pPr>
        <w:numPr>
          <w:ilvl w:val="0"/>
          <w:numId w:val="12"/>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高校以合作办学方式设置的校外学习站点，应成立管理委员会。管理委员会由学校负责人、设点单位相关学院负责人、校外教学场所负责人和教师代表组成。管理委员会主任应由学校相关学院负责人担任。</w:t>
      </w:r>
    </w:p>
    <w:p w:rsidR="00670FB9" w:rsidRDefault="00E362A8">
      <w:pPr>
        <w:numPr>
          <w:ilvl w:val="0"/>
          <w:numId w:val="12"/>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学校以租赁校舍资源方式设置的校外学习站点，应由学校相关学院独立组建校外学习站点管理机构（或管理班子）。负责校外学习站点的招生办学和日常管理；负责与校舍资源出租单位沟通协调，做好教育教学的后勤保障服务。</w:t>
      </w:r>
    </w:p>
    <w:p w:rsidR="00670FB9" w:rsidRDefault="00E362A8" w:rsidP="004D5B68">
      <w:pPr>
        <w:pStyle w:val="a5"/>
        <w:numPr>
          <w:ilvl w:val="1"/>
          <w:numId w:val="2"/>
        </w:numPr>
        <w:adjustRightInd w:val="0"/>
        <w:snapToGrid w:val="0"/>
        <w:spacing w:beforeLines="50" w:before="156" w:line="360" w:lineRule="auto"/>
        <w:ind w:firstLineChars="0"/>
        <w:rPr>
          <w:b/>
          <w:color w:val="000000" w:themeColor="text1"/>
          <w:sz w:val="24"/>
          <w:szCs w:val="24"/>
        </w:rPr>
      </w:pPr>
      <w:r>
        <w:rPr>
          <w:rFonts w:hint="eastAsia"/>
          <w:b/>
          <w:color w:val="000000" w:themeColor="text1"/>
          <w:sz w:val="24"/>
          <w:szCs w:val="24"/>
        </w:rPr>
        <w:t>校外学习站点的管理人员配置</w:t>
      </w:r>
    </w:p>
    <w:p w:rsidR="00670FB9" w:rsidRDefault="00E362A8">
      <w:pPr>
        <w:numPr>
          <w:ilvl w:val="0"/>
          <w:numId w:val="13"/>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校外学习站点一般应配备1－2名负责人（主任和副主任）。</w:t>
      </w:r>
    </w:p>
    <w:p w:rsidR="00670FB9" w:rsidRDefault="00E362A8">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（1）负责人的任职条件是：应具有较高政治素质和管理能力，丰富的教学、管理经验和能力，一般应具有高等院校管理岗位工作经历，并具有大学本科以上学历和高校讲师以上职称。</w:t>
      </w:r>
    </w:p>
    <w:p w:rsidR="00670FB9" w:rsidRDefault="00E362A8">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（2）负责人人选，由校外学习站点管理委员会（或学校）提名，经学校批准后，任命履职。</w:t>
      </w:r>
    </w:p>
    <w:p w:rsidR="00670FB9" w:rsidRDefault="00E362A8">
      <w:pPr>
        <w:numPr>
          <w:ilvl w:val="0"/>
          <w:numId w:val="13"/>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校外学习站点应配备数量充足的专兼职教育教学与教务管理人员。其中专职教育教学与教务管理人员的任职条件是：应熟悉高等院校教学管理，具有良好素质和工作经验与能力，且具有高等院校相应工作的任职资格、经历和大学专科以上学历。</w:t>
      </w:r>
    </w:p>
    <w:p w:rsidR="00670FB9" w:rsidRDefault="00E362A8">
      <w:pPr>
        <w:numPr>
          <w:ilvl w:val="0"/>
          <w:numId w:val="13"/>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校外学习站点应建立健全教务、财务、后勤等各项管理制度，专人负责管理。</w:t>
      </w:r>
    </w:p>
    <w:p w:rsidR="00670FB9" w:rsidRDefault="00E362A8" w:rsidP="004D5B68">
      <w:pPr>
        <w:pStyle w:val="a5"/>
        <w:numPr>
          <w:ilvl w:val="1"/>
          <w:numId w:val="2"/>
        </w:numPr>
        <w:adjustRightInd w:val="0"/>
        <w:snapToGrid w:val="0"/>
        <w:spacing w:beforeLines="50" w:before="156" w:line="360" w:lineRule="auto"/>
        <w:ind w:firstLineChars="0"/>
        <w:rPr>
          <w:b/>
          <w:color w:val="000000" w:themeColor="text1"/>
          <w:sz w:val="24"/>
          <w:szCs w:val="24"/>
        </w:rPr>
      </w:pPr>
      <w:r>
        <w:rPr>
          <w:rFonts w:hint="eastAsia"/>
          <w:b/>
          <w:color w:val="000000" w:themeColor="text1"/>
          <w:sz w:val="24"/>
          <w:szCs w:val="24"/>
        </w:rPr>
        <w:t>校外教学场所的师资配置</w:t>
      </w:r>
    </w:p>
    <w:p w:rsidR="00670FB9" w:rsidRDefault="00E362A8">
      <w:pPr>
        <w:numPr>
          <w:ilvl w:val="0"/>
          <w:numId w:val="14"/>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校外学习站点配备的任课教师，应具有高校教师任职资格，工作认真负责和具有一定的教学经验。高等学历教育班的任课教师中，本校派出的教师应不少于2/3。</w:t>
      </w:r>
    </w:p>
    <w:p w:rsidR="00670FB9" w:rsidRDefault="00E362A8">
      <w:pPr>
        <w:numPr>
          <w:ilvl w:val="0"/>
          <w:numId w:val="14"/>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校外教学站点应配备一定数量的具有副教授以上职称的本专业（学科）的专兼把关</w:t>
      </w:r>
      <w:proofErr w:type="gramStart"/>
      <w:r>
        <w:rPr>
          <w:rFonts w:ascii="宋体" w:eastAsia="宋体" w:hAnsi="宋体" w:cs="宋体" w:hint="eastAsia"/>
          <w:color w:val="000000" w:themeColor="text1"/>
          <w:sz w:val="24"/>
          <w:szCs w:val="24"/>
        </w:rPr>
        <w:t>责</w:t>
      </w:r>
      <w:proofErr w:type="gramEnd"/>
      <w:r>
        <w:rPr>
          <w:rFonts w:ascii="宋体" w:eastAsia="宋体" w:hAnsi="宋体" w:cs="宋体" w:hint="eastAsia"/>
          <w:color w:val="000000" w:themeColor="text1"/>
          <w:sz w:val="24"/>
          <w:szCs w:val="24"/>
        </w:rPr>
        <w:t>教师，负责校外教学站点所设专业的教育教学质量。</w:t>
      </w:r>
    </w:p>
    <w:p w:rsidR="00670FB9" w:rsidRDefault="00E362A8">
      <w:pPr>
        <w:numPr>
          <w:ilvl w:val="0"/>
          <w:numId w:val="14"/>
        </w:numPr>
        <w:adjustRightInd w:val="0"/>
        <w:snapToGrid w:val="0"/>
        <w:spacing w:line="360" w:lineRule="auto"/>
        <w:ind w:left="0"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校外教学站点应按照所设专业，配备数量足够、科类齐全、相对稳定、政治素质较高的教育教学辅导员。</w:t>
      </w:r>
    </w:p>
    <w:sectPr w:rsidR="00670FB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72" w:rsidRDefault="001A3672">
      <w:r>
        <w:separator/>
      </w:r>
    </w:p>
  </w:endnote>
  <w:endnote w:type="continuationSeparator" w:id="0">
    <w:p w:rsidR="001A3672" w:rsidRDefault="001A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B9" w:rsidRDefault="00E362A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70FB9" w:rsidRDefault="00E362A8">
                          <w:pPr>
                            <w:pStyle w:val="a3"/>
                          </w:pPr>
                          <w:r>
                            <w:rPr>
                              <w:rFonts w:hint="eastAsia"/>
                            </w:rPr>
                            <w:fldChar w:fldCharType="begin"/>
                          </w:r>
                          <w:r>
                            <w:rPr>
                              <w:rFonts w:hint="eastAsia"/>
                            </w:rPr>
                            <w:instrText xml:space="preserve"> PAGE  \* MERGEFORMAT </w:instrText>
                          </w:r>
                          <w:r>
                            <w:rPr>
                              <w:rFonts w:hint="eastAsia"/>
                            </w:rPr>
                            <w:fldChar w:fldCharType="separate"/>
                          </w:r>
                          <w:r w:rsidR="008A3BEB">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70FB9" w:rsidRDefault="00E362A8">
                    <w:pPr>
                      <w:pStyle w:val="a3"/>
                    </w:pPr>
                    <w:r>
                      <w:rPr>
                        <w:rFonts w:hint="eastAsia"/>
                      </w:rPr>
                      <w:fldChar w:fldCharType="begin"/>
                    </w:r>
                    <w:r>
                      <w:rPr>
                        <w:rFonts w:hint="eastAsia"/>
                      </w:rPr>
                      <w:instrText xml:space="preserve"> PAGE  \* MERGEFORMAT </w:instrText>
                    </w:r>
                    <w:r>
                      <w:rPr>
                        <w:rFonts w:hint="eastAsia"/>
                      </w:rPr>
                      <w:fldChar w:fldCharType="separate"/>
                    </w:r>
                    <w:r w:rsidR="008A3BEB">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72" w:rsidRDefault="001A3672">
      <w:r>
        <w:separator/>
      </w:r>
    </w:p>
  </w:footnote>
  <w:footnote w:type="continuationSeparator" w:id="0">
    <w:p w:rsidR="001A3672" w:rsidRDefault="001A3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4F0163"/>
    <w:multiLevelType w:val="singleLevel"/>
    <w:tmpl w:val="914F0163"/>
    <w:lvl w:ilvl="0">
      <w:start w:val="1"/>
      <w:numFmt w:val="decimal"/>
      <w:lvlText w:val="%1."/>
      <w:lvlJc w:val="left"/>
      <w:pPr>
        <w:ind w:left="425" w:hanging="425"/>
      </w:pPr>
      <w:rPr>
        <w:rFonts w:hint="default"/>
      </w:rPr>
    </w:lvl>
  </w:abstractNum>
  <w:abstractNum w:abstractNumId="1">
    <w:nsid w:val="974736AF"/>
    <w:multiLevelType w:val="singleLevel"/>
    <w:tmpl w:val="974736AF"/>
    <w:lvl w:ilvl="0">
      <w:start w:val="1"/>
      <w:numFmt w:val="decimal"/>
      <w:lvlText w:val="%1."/>
      <w:lvlJc w:val="left"/>
      <w:pPr>
        <w:ind w:left="425" w:hanging="425"/>
      </w:pPr>
      <w:rPr>
        <w:rFonts w:hint="default"/>
      </w:rPr>
    </w:lvl>
  </w:abstractNum>
  <w:abstractNum w:abstractNumId="2">
    <w:nsid w:val="B57B89FD"/>
    <w:multiLevelType w:val="singleLevel"/>
    <w:tmpl w:val="B57B89FD"/>
    <w:lvl w:ilvl="0">
      <w:start w:val="1"/>
      <w:numFmt w:val="decimal"/>
      <w:lvlText w:val="%1."/>
      <w:lvlJc w:val="left"/>
      <w:pPr>
        <w:ind w:left="425" w:hanging="425"/>
      </w:pPr>
      <w:rPr>
        <w:rFonts w:hint="default"/>
      </w:rPr>
    </w:lvl>
  </w:abstractNum>
  <w:abstractNum w:abstractNumId="3">
    <w:nsid w:val="C58DC4A3"/>
    <w:multiLevelType w:val="singleLevel"/>
    <w:tmpl w:val="C58DC4A3"/>
    <w:lvl w:ilvl="0">
      <w:start w:val="1"/>
      <w:numFmt w:val="decimal"/>
      <w:lvlText w:val="%1."/>
      <w:lvlJc w:val="left"/>
      <w:pPr>
        <w:ind w:left="425" w:hanging="425"/>
      </w:pPr>
      <w:rPr>
        <w:rFonts w:hint="default"/>
      </w:rPr>
    </w:lvl>
  </w:abstractNum>
  <w:abstractNum w:abstractNumId="4">
    <w:nsid w:val="CA65C9AD"/>
    <w:multiLevelType w:val="singleLevel"/>
    <w:tmpl w:val="CA65C9AD"/>
    <w:lvl w:ilvl="0">
      <w:start w:val="1"/>
      <w:numFmt w:val="decimal"/>
      <w:lvlText w:val="%1."/>
      <w:lvlJc w:val="left"/>
      <w:pPr>
        <w:ind w:left="425" w:hanging="425"/>
      </w:pPr>
      <w:rPr>
        <w:rFonts w:hint="default"/>
      </w:rPr>
    </w:lvl>
  </w:abstractNum>
  <w:abstractNum w:abstractNumId="5">
    <w:nsid w:val="E3A7183A"/>
    <w:multiLevelType w:val="singleLevel"/>
    <w:tmpl w:val="E3A7183A"/>
    <w:lvl w:ilvl="0">
      <w:start w:val="1"/>
      <w:numFmt w:val="decimal"/>
      <w:lvlText w:val="%1."/>
      <w:lvlJc w:val="left"/>
      <w:pPr>
        <w:ind w:left="425" w:hanging="425"/>
      </w:pPr>
      <w:rPr>
        <w:rFonts w:hint="default"/>
      </w:rPr>
    </w:lvl>
  </w:abstractNum>
  <w:abstractNum w:abstractNumId="6">
    <w:nsid w:val="0559C069"/>
    <w:multiLevelType w:val="singleLevel"/>
    <w:tmpl w:val="0559C069"/>
    <w:lvl w:ilvl="0">
      <w:start w:val="1"/>
      <w:numFmt w:val="decimal"/>
      <w:lvlText w:val="%1."/>
      <w:lvlJc w:val="left"/>
      <w:pPr>
        <w:ind w:left="425" w:hanging="425"/>
      </w:pPr>
      <w:rPr>
        <w:rFonts w:hint="default"/>
      </w:rPr>
    </w:lvl>
  </w:abstractNum>
  <w:abstractNum w:abstractNumId="7">
    <w:nsid w:val="25B3538B"/>
    <w:multiLevelType w:val="singleLevel"/>
    <w:tmpl w:val="25B3538B"/>
    <w:lvl w:ilvl="0">
      <w:start w:val="1"/>
      <w:numFmt w:val="decimal"/>
      <w:lvlText w:val="%1."/>
      <w:lvlJc w:val="left"/>
      <w:pPr>
        <w:ind w:left="425" w:hanging="425"/>
      </w:pPr>
      <w:rPr>
        <w:rFonts w:hint="default"/>
      </w:rPr>
    </w:lvl>
  </w:abstractNum>
  <w:abstractNum w:abstractNumId="8">
    <w:nsid w:val="3C3643DF"/>
    <w:multiLevelType w:val="multilevel"/>
    <w:tmpl w:val="3C3643DF"/>
    <w:lvl w:ilvl="0">
      <w:start w:val="1"/>
      <w:numFmt w:val="chineseCounting"/>
      <w:suff w:val="nothing"/>
      <w:lvlText w:val="第%1章　"/>
      <w:lvlJc w:val="left"/>
      <w:pPr>
        <w:ind w:left="0" w:firstLine="402"/>
      </w:pPr>
      <w:rPr>
        <w:rFonts w:hint="eastAsia"/>
      </w:rPr>
    </w:lvl>
    <w:lvl w:ilvl="1">
      <w:start w:val="1"/>
      <w:numFmt w:val="chineseCounting"/>
      <w:suff w:val="nothing"/>
      <w:lvlText w:val="第%2条　"/>
      <w:lvlJc w:val="left"/>
      <w:pPr>
        <w:tabs>
          <w:tab w:val="left" w:pos="0"/>
        </w:tabs>
        <w:ind w:left="0" w:firstLine="402"/>
      </w:pPr>
      <w:rPr>
        <w:rFonts w:ascii="宋体" w:eastAsia="宋体" w:hAnsi="宋体" w:cs="宋体" w:hint="eastAsia"/>
      </w:rPr>
    </w:lvl>
    <w:lvl w:ilvl="2">
      <w:start w:val="1"/>
      <w:numFmt w:val="chineseCounting"/>
      <w:suff w:val="nothing"/>
      <w:lvlText w:val="第%3条　"/>
      <w:lvlJc w:val="left"/>
      <w:pPr>
        <w:ind w:left="0" w:firstLine="402"/>
      </w:pPr>
      <w:rPr>
        <w:rFonts w:hint="eastAsia"/>
      </w:rPr>
    </w:lvl>
    <w:lvl w:ilvl="3">
      <w:start w:val="1"/>
      <w:numFmt w:val="chineseCounting"/>
      <w:suff w:val="nothing"/>
      <w:lvlText w:val="（%4）"/>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decimalEnclosedCircleChinese"/>
      <w:suff w:val="nothing"/>
      <w:lvlText w:val="%7 "/>
      <w:lvlJc w:val="left"/>
      <w:pPr>
        <w:ind w:left="0" w:firstLine="402"/>
      </w:pPr>
      <w:rPr>
        <w:rFonts w:hint="eastAsia"/>
      </w:rPr>
    </w:lvl>
    <w:lvl w:ilvl="7">
      <w:start w:val="1"/>
      <w:numFmt w:val="decimal"/>
      <w:suff w:val="nothing"/>
      <w:lvlText w:val="%8）"/>
      <w:lvlJc w:val="left"/>
      <w:pPr>
        <w:ind w:left="0" w:firstLine="402"/>
      </w:pPr>
      <w:rPr>
        <w:rFonts w:hint="eastAsia"/>
      </w:rPr>
    </w:lvl>
    <w:lvl w:ilvl="8">
      <w:start w:val="1"/>
      <w:numFmt w:val="lowerLetter"/>
      <w:suff w:val="nothing"/>
      <w:lvlText w:val="%9．"/>
      <w:lvlJc w:val="left"/>
      <w:pPr>
        <w:ind w:left="0" w:firstLine="402"/>
      </w:pPr>
      <w:rPr>
        <w:rFonts w:hint="eastAsia"/>
      </w:rPr>
    </w:lvl>
  </w:abstractNum>
  <w:abstractNum w:abstractNumId="9">
    <w:nsid w:val="4180119F"/>
    <w:multiLevelType w:val="multilevel"/>
    <w:tmpl w:val="4180119F"/>
    <w:lvl w:ilvl="0">
      <w:start w:val="1"/>
      <w:numFmt w:val="japaneseCounting"/>
      <w:lvlText w:val="第%1章"/>
      <w:lvlJc w:val="left"/>
      <w:pPr>
        <w:ind w:left="1320" w:hanging="840"/>
      </w:pPr>
      <w:rPr>
        <w:rFonts w:hint="default"/>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430C7314"/>
    <w:multiLevelType w:val="singleLevel"/>
    <w:tmpl w:val="430C7314"/>
    <w:lvl w:ilvl="0">
      <w:start w:val="1"/>
      <w:numFmt w:val="decimal"/>
      <w:lvlText w:val="%1."/>
      <w:lvlJc w:val="left"/>
      <w:pPr>
        <w:ind w:left="425" w:hanging="425"/>
      </w:pPr>
      <w:rPr>
        <w:rFonts w:hint="default"/>
      </w:rPr>
    </w:lvl>
  </w:abstractNum>
  <w:abstractNum w:abstractNumId="11">
    <w:nsid w:val="485CF4F1"/>
    <w:multiLevelType w:val="singleLevel"/>
    <w:tmpl w:val="485CF4F1"/>
    <w:lvl w:ilvl="0">
      <w:start w:val="1"/>
      <w:numFmt w:val="decimal"/>
      <w:lvlText w:val="%1."/>
      <w:lvlJc w:val="left"/>
      <w:pPr>
        <w:ind w:left="425" w:hanging="425"/>
      </w:pPr>
      <w:rPr>
        <w:rFonts w:hint="default"/>
      </w:rPr>
    </w:lvl>
  </w:abstractNum>
  <w:abstractNum w:abstractNumId="12">
    <w:nsid w:val="5A557624"/>
    <w:multiLevelType w:val="singleLevel"/>
    <w:tmpl w:val="5A557624"/>
    <w:lvl w:ilvl="0">
      <w:start w:val="1"/>
      <w:numFmt w:val="decimal"/>
      <w:lvlText w:val="%1."/>
      <w:lvlJc w:val="left"/>
      <w:pPr>
        <w:ind w:left="425" w:hanging="425"/>
      </w:pPr>
      <w:rPr>
        <w:rFonts w:hint="default"/>
      </w:rPr>
    </w:lvl>
  </w:abstractNum>
  <w:abstractNum w:abstractNumId="13">
    <w:nsid w:val="69B229DA"/>
    <w:multiLevelType w:val="singleLevel"/>
    <w:tmpl w:val="69B229DA"/>
    <w:lvl w:ilvl="0">
      <w:start w:val="1"/>
      <w:numFmt w:val="decimal"/>
      <w:lvlText w:val="%1."/>
      <w:lvlJc w:val="left"/>
      <w:pPr>
        <w:ind w:left="425" w:hanging="425"/>
      </w:pPr>
      <w:rPr>
        <w:rFonts w:hint="default"/>
      </w:rPr>
    </w:lvl>
  </w:abstractNum>
  <w:num w:numId="1">
    <w:abstractNumId w:val="9"/>
  </w:num>
  <w:num w:numId="2">
    <w:abstractNumId w:val="8"/>
  </w:num>
  <w:num w:numId="3">
    <w:abstractNumId w:val="12"/>
  </w:num>
  <w:num w:numId="4">
    <w:abstractNumId w:val="13"/>
  </w:num>
  <w:num w:numId="5">
    <w:abstractNumId w:val="5"/>
  </w:num>
  <w:num w:numId="6">
    <w:abstractNumId w:val="0"/>
  </w:num>
  <w:num w:numId="7">
    <w:abstractNumId w:val="10"/>
  </w:num>
  <w:num w:numId="8">
    <w:abstractNumId w:val="3"/>
  </w:num>
  <w:num w:numId="9">
    <w:abstractNumId w:val="6"/>
  </w:num>
  <w:num w:numId="10">
    <w:abstractNumId w:val="4"/>
  </w:num>
  <w:num w:numId="11">
    <w:abstractNumId w:val="1"/>
  </w:num>
  <w:num w:numId="12">
    <w:abstractNumId w:val="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B9"/>
    <w:rsid w:val="001A3672"/>
    <w:rsid w:val="004D5B68"/>
    <w:rsid w:val="00670FB9"/>
    <w:rsid w:val="008A3BEB"/>
    <w:rsid w:val="00E362A8"/>
    <w:rsid w:val="053C23D8"/>
    <w:rsid w:val="05B92DBB"/>
    <w:rsid w:val="08077114"/>
    <w:rsid w:val="0CE951CD"/>
    <w:rsid w:val="0D463479"/>
    <w:rsid w:val="103104D8"/>
    <w:rsid w:val="107878CE"/>
    <w:rsid w:val="185A780F"/>
    <w:rsid w:val="189A0C8F"/>
    <w:rsid w:val="1A45046C"/>
    <w:rsid w:val="1FCC3B75"/>
    <w:rsid w:val="247D08CB"/>
    <w:rsid w:val="2565382C"/>
    <w:rsid w:val="2B7F6707"/>
    <w:rsid w:val="2BC50DE9"/>
    <w:rsid w:val="2D9551BD"/>
    <w:rsid w:val="36A25187"/>
    <w:rsid w:val="3A1E763F"/>
    <w:rsid w:val="405176C0"/>
    <w:rsid w:val="47953A44"/>
    <w:rsid w:val="4A1F148A"/>
    <w:rsid w:val="51040FBD"/>
    <w:rsid w:val="530A6B0A"/>
    <w:rsid w:val="537A59C3"/>
    <w:rsid w:val="54077669"/>
    <w:rsid w:val="559A6654"/>
    <w:rsid w:val="578823ED"/>
    <w:rsid w:val="597A4C71"/>
    <w:rsid w:val="5A7C432B"/>
    <w:rsid w:val="5BD12E65"/>
    <w:rsid w:val="5F086BA9"/>
    <w:rsid w:val="61957126"/>
    <w:rsid w:val="6198362D"/>
    <w:rsid w:val="63050277"/>
    <w:rsid w:val="650872A5"/>
    <w:rsid w:val="6DD603E0"/>
    <w:rsid w:val="71BB1174"/>
    <w:rsid w:val="72402D71"/>
    <w:rsid w:val="7471493C"/>
    <w:rsid w:val="75C64805"/>
    <w:rsid w:val="7C6B1986"/>
    <w:rsid w:val="7DC021C2"/>
    <w:rsid w:val="7EB36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630</Words>
  <Characters>3596</Characters>
  <Application>Microsoft Office Word</Application>
  <DocSecurity>0</DocSecurity>
  <Lines>29</Lines>
  <Paragraphs>8</Paragraphs>
  <ScaleCrop>false</ScaleCrop>
  <Company>Microsoft</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cp:lastModifiedBy>
  <cp:revision>3</cp:revision>
  <dcterms:created xsi:type="dcterms:W3CDTF">2014-10-29T12:08:00Z</dcterms:created>
  <dcterms:modified xsi:type="dcterms:W3CDTF">2018-03-15T06:39:00Z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